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EB" w:rsidRDefault="00322537">
      <w:pPr>
        <w:pStyle w:val="Body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Hepatocellular carcinoma</w:t>
      </w:r>
    </w:p>
    <w:p w:rsidR="00397BEB" w:rsidRDefault="00322537">
      <w:pPr>
        <w:pStyle w:val="Body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Incidentally diagnosed at screening/follow up of chronic liver disease</w:t>
      </w:r>
    </w:p>
    <w:p w:rsidR="00397BEB" w:rsidRDefault="00322537">
      <w:pPr>
        <w:pStyle w:val="Body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Right upper Quadrant pain/mass, Jaundice, Nausea, weight loss, symptoms related to metastasis</w:t>
      </w:r>
    </w:p>
    <w:p w:rsidR="00397BEB" w:rsidRDefault="00397BEB">
      <w:pPr>
        <w:pStyle w:val="Body"/>
        <w:spacing w:after="0" w:line="480" w:lineRule="auto"/>
        <w:jc w:val="center"/>
        <w:rPr>
          <w:rFonts w:ascii="Arial" w:eastAsia="Arial" w:hAnsi="Arial" w:cs="Arial"/>
          <w:sz w:val="20"/>
          <w:szCs w:val="20"/>
        </w:rPr>
      </w:pPr>
      <w:r w:rsidRPr="00397BEB">
        <w:rPr>
          <w:sz w:val="24"/>
          <w:szCs w:val="24"/>
        </w:rPr>
        <w:pict>
          <v:shape id="_x0000_s1026" style="position:absolute;left:0;text-align:left;margin-left:221.9pt;margin-top:14.5pt;width:21.6pt;height:1pt;rotation:90;flip:x;z-index:251664384;visibility:visible;mso-wrap-distance-left:0;mso-wrap-distance-top:0;mso-wrap-distance-right:0;mso-wrap-distance-bottom:0;mso-position-horizontal:absolute;mso-position-horizontal-relative:text;mso-position-vertical:absolute;mso-position-vertical-relative:line" coordsize="21600,21600" path="m,l10800,r,21600l21600,21600e" filled="f" strokeweight=".8pt">
            <v:stroke endarrow="block" joinstyle="miter"/>
          </v:shape>
        </w:pict>
      </w:r>
      <w:r w:rsidRPr="00397BE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6pt;margin-top:29.1pt;width:523pt;height:131.8pt;z-index:251662336;visibility:visible;mso-wrap-distance-left:0;mso-wrap-distance-right:0;mso-position-horizontal-relative:margin;mso-position-vertical-relative:line" strokeweight=".8pt">
            <v:textbox>
              <w:txbxContent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>Triphasic CECT Abdomen and pelvis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u w:val="single"/>
                      <w:lang w:val="en-US"/>
                    </w:rPr>
                    <w:t xml:space="preserve">Gadolinium enhanced MRI </w:t>
                  </w:r>
                  <w:r>
                    <w:rPr>
                      <w:u w:val="single"/>
                      <w:lang w:val="en-US"/>
                    </w:rPr>
                    <w:t>scan abdomen (in cirrhotics and suspected cirrhotic patients</w:t>
                  </w:r>
                  <w:r>
                    <w:t>)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CBC , Liver function tests, PT/INR HBSAg </w:t>
                  </w:r>
                  <w:r>
                    <w:rPr>
                      <w:i/>
                      <w:iCs/>
                    </w:rPr>
                    <w:t>HBV Total Core Ab</w:t>
                  </w:r>
                  <w:r>
                    <w:t>, HCV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>Child and HKLC/BCLC</w:t>
                  </w:r>
                  <w:r>
                    <w:t xml:space="preserve"> scoring, Alfa feto protein, </w:t>
                  </w:r>
                  <w:r>
                    <w:rPr>
                      <w:i/>
                      <w:iCs/>
                    </w:rPr>
                    <w:t>PIVKA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Endoscopy for varices, </w:t>
                  </w:r>
                  <w:r>
                    <w:rPr>
                      <w:i/>
                      <w:iCs/>
                      <w:lang w:val="en-US"/>
                    </w:rPr>
                    <w:t>HVPG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lang w:val="en-US"/>
                    </w:rPr>
                    <w:t xml:space="preserve">Metastatic workup if curative treatment : CT Scan chest, 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                                   If Surgical management -Measurement of FLR (functional Liver Remnant) for major resections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>US / CT guided Biopsy only LIRADS 4 and AFP&lt; 400ng/mL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>Nutritional evalua</w:t>
                  </w:r>
                  <w:r>
                    <w:rPr>
                      <w:lang w:val="en-US"/>
                    </w:rPr>
                    <w:t>tion and supportive care for liver disease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>If HbsAg +ve screen family and treat/vaccinate</w:t>
                  </w:r>
                </w:p>
              </w:txbxContent>
            </v:textbox>
            <w10:wrap anchorx="margin"/>
          </v:shape>
        </w:pict>
      </w:r>
    </w:p>
    <w:p w:rsidR="00397BEB" w:rsidRDefault="00322537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 w:rsidRPr="00397BEB">
        <w:rPr>
          <w:rFonts w:ascii="Arial" w:eastAsia="Arial" w:hAnsi="Arial" w:cs="Arial"/>
          <w:sz w:val="20"/>
          <w:szCs w:val="20"/>
        </w:rPr>
        <w:pict>
          <v:line id="_x0000_s1028" style="position:absolute;z-index:251668480;visibility:visible;mso-wrap-distance-left:0;mso-wrap-distance-right:0;mso-position-vertical-relative:line" from="248.4pt,20pt" to="248.4pt,40.4pt" strokeweight=".8pt"/>
        </w:pict>
      </w: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 w:rsidRPr="00397BEB">
        <w:rPr>
          <w:sz w:val="24"/>
          <w:szCs w:val="24"/>
        </w:rPr>
        <w:pict>
          <v:line id="_x0000_s1029" style="position:absolute;flip:x;z-index:251670528;visibility:visible;mso-wrap-distance-left:0;mso-wrap-distance-right:0;mso-position-vertical-relative:line" from="6pt,11.1pt" to="6pt,38.1pt" strokecolor="#4f81bd" strokeweight="2pt">
            <v:stroke endarrow="block"/>
            <v:shadow on="t" color="black" opacity="24904f" offset="0,1.6pt"/>
          </v:line>
        </w:pict>
      </w:r>
      <w:r w:rsidRPr="00397BEB">
        <w:rPr>
          <w:sz w:val="24"/>
          <w:szCs w:val="24"/>
        </w:rPr>
        <w:pict>
          <v:line id="_x0000_s1030" style="position:absolute;z-index:251667456;visibility:visible;mso-wrap-distance-left:0;mso-wrap-distance-right:0;mso-position-vertical-relative:line" from="481pt,12.4pt" to="481pt,27.3pt" strokeweight=".8pt">
            <v:stroke endarrow="block"/>
          </v:line>
        </w:pict>
      </w:r>
      <w:r w:rsidRPr="00397BEB">
        <w:rPr>
          <w:rFonts w:ascii="Arial" w:eastAsia="Arial" w:hAnsi="Arial" w:cs="Arial"/>
          <w:sz w:val="20"/>
          <w:szCs w:val="20"/>
        </w:rPr>
        <w:pict>
          <v:line id="_x0000_s1031" style="position:absolute;flip:y;z-index:251666432;visibility:visible;mso-wrap-distance-left:0;mso-wrap-distance-right:0;mso-position-vertical-relative:line" from="9.4pt,12pt" to="482.7pt,12.8pt" strokeweight=".8pt"/>
        </w:pict>
      </w: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 w:rsidRPr="00397BEB">
        <w:pict>
          <v:shape id="_x0000_s1032" type="#_x0000_t202" style="position:absolute;margin-left:27.5pt;margin-top:10.8pt;width:247.5pt;height:27pt;z-index:251669504;visibility:visible;mso-wrap-distance-left:4.5pt;mso-wrap-distance-top:4.5pt;mso-wrap-distance-right:4.5pt;mso-wrap-distance-bottom:4.5pt;mso-position-vertical-relative:line" strokeweight="2pt">
            <v:stroke joinstyle="round"/>
            <v:textbox>
              <w:txbxContent>
                <w:p w:rsidR="00397BEB" w:rsidRDefault="00322537">
                  <w:pPr>
                    <w:pStyle w:val="Body"/>
                  </w:pPr>
                  <w:r>
                    <w:rPr>
                      <w:b/>
                      <w:bCs/>
                      <w:lang w:val="en-US"/>
                    </w:rPr>
                    <w:t xml:space="preserve">Good Liver Function(Childs A/ B) </w:t>
                  </w:r>
                </w:p>
              </w:txbxContent>
            </v:textbox>
            <w10:wrap type="square"/>
          </v:shape>
        </w:pict>
      </w:r>
      <w:r w:rsidRPr="00397BEB">
        <w:pict>
          <v:shape id="_x0000_s1033" type="#_x0000_t202" style="position:absolute;margin-left:419.8pt;margin-top:.7pt;width:95.8pt;height:193.6pt;z-index:251661312;visibility:visible;mso-wrap-distance-left:0;mso-wrap-distance-right:0;mso-position-vertical-relative:line" strokeweight=".8pt">
            <v:textbox>
              <w:txbxContent>
                <w:p w:rsidR="00397BEB" w:rsidRDefault="00322537">
                  <w:pPr>
                    <w:pStyle w:val="NoSpacing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Poor liver function (Child C)</w:t>
                  </w:r>
                </w:p>
                <w:p w:rsidR="00397BEB" w:rsidRDefault="00397BEB">
                  <w:pPr>
                    <w:pStyle w:val="NoSpacing"/>
                    <w:jc w:val="center"/>
                    <w:rPr>
                      <w:b/>
                      <w:bCs/>
                    </w:rPr>
                  </w:pPr>
                </w:p>
                <w:p w:rsidR="00397BEB" w:rsidRDefault="00322537">
                  <w:pPr>
                    <w:pStyle w:val="NoSpacing"/>
                  </w:pPr>
                  <w:r>
                    <w:t xml:space="preserve">- Liver transplant for tumors within Standard criteria if no metastatic disease </w:t>
                  </w:r>
                  <w:r>
                    <w:t>and no PVT</w:t>
                  </w:r>
                </w:p>
                <w:p w:rsidR="00397BEB" w:rsidRDefault="00397BEB">
                  <w:pPr>
                    <w:pStyle w:val="NoSpacing"/>
                  </w:pPr>
                </w:p>
                <w:p w:rsidR="00397BEB" w:rsidRDefault="00322537">
                  <w:pPr>
                    <w:pStyle w:val="Body"/>
                    <w:spacing w:after="120" w:line="240" w:lineRule="auto"/>
                  </w:pPr>
                  <w:r>
                    <w:rPr>
                      <w:lang w:val="en-US"/>
                    </w:rPr>
                    <w:t xml:space="preserve">Best supportive care </w:t>
                  </w:r>
                </w:p>
              </w:txbxContent>
            </v:textbox>
          </v:shape>
        </w:pict>
      </w: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 w:rsidRPr="00397BEB">
        <w:rPr>
          <w:rFonts w:ascii="Arial" w:eastAsia="Arial" w:hAnsi="Arial" w:cs="Arial"/>
          <w:sz w:val="20"/>
          <w:szCs w:val="20"/>
        </w:rPr>
        <w:pict>
          <v:line id="_x0000_s1034" style="position:absolute;flip:x;z-index:251673600;visibility:visible;mso-wrap-distance-left:0;mso-wrap-distance-right:0;mso-position-vertical-relative:line" from="34pt,9.7pt" to="89pt,36.7pt" strokecolor="#4f81bd" strokeweight="2pt">
            <v:stroke endarrow="block"/>
            <v:shadow on="t" color="black" opacity="24904f" offset="0,1.6pt"/>
          </v:line>
        </w:pict>
      </w:r>
      <w:r w:rsidRPr="00397BEB">
        <w:rPr>
          <w:rFonts w:ascii="Arial" w:eastAsia="Arial" w:hAnsi="Arial" w:cs="Arial"/>
          <w:sz w:val="20"/>
          <w:szCs w:val="20"/>
        </w:rPr>
        <w:pict>
          <v:line id="_x0000_s1035" style="position:absolute;z-index:251672576;visibility:visible;mso-wrap-distance-left:0;mso-wrap-distance-right:0;mso-position-vertical-relative:line" from="193pt,10.6pt" to="193pt,37.6pt" strokecolor="#4f81bd" strokeweight="2pt">
            <v:stroke endarrow="block"/>
            <v:shadow on="t" color="black" opacity="24904f" offset="0,1.6pt"/>
          </v:line>
        </w:pict>
      </w:r>
      <w:r w:rsidRPr="00397BEB">
        <w:rPr>
          <w:rFonts w:ascii="Arial" w:eastAsia="Arial" w:hAnsi="Arial" w:cs="Arial"/>
          <w:sz w:val="20"/>
          <w:szCs w:val="20"/>
        </w:rPr>
        <w:pict>
          <v:line id="_x0000_s1036" style="position:absolute;z-index:251671552;visibility:visible;mso-wrap-distance-left:0;mso-wrap-distance-right:0;mso-position-vertical-relative:line" from="281pt,9.7pt" to="325pt,36.7pt" strokecolor="#4f81bd" strokeweight="2pt">
            <v:stroke endarrow="block"/>
            <v:shadow on="t" color="black" opacity="24904f" offset="0,1.6pt"/>
          </v:line>
        </w:pict>
      </w:r>
    </w:p>
    <w:p w:rsidR="00397BEB" w:rsidRDefault="00397BEB">
      <w:pPr>
        <w:pStyle w:val="NoSpacing"/>
      </w:pPr>
      <w:r w:rsidRPr="00397BEB">
        <w:pict>
          <v:shape id="_x0000_s1037" type="#_x0000_t202" style="position:absolute;margin-left:-60.8pt;margin-top:10.3pt;width:190.5pt;height:343.5pt;z-index:251660288;visibility:visible;mso-wrap-distance-left:0;mso-wrap-distance-right:0;mso-position-vertical-relative:line" strokeweight=".8pt">
            <v:textbox>
              <w:txbxContent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Resectable tumour (adequate FLR)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No main trunk venous thrombosis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No extra hepatic disease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Limited co-morbidity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Curative treatment options </w:t>
                  </w:r>
                </w:p>
                <w:p w:rsidR="00397BEB" w:rsidRDefault="00322537">
                  <w:pPr>
                    <w:pStyle w:val="NoSpacing"/>
                  </w:pPr>
                  <w:r>
                    <w:t xml:space="preserve">Liver Resection if Child score is A or early B / HKLC I or II , no or mild </w:t>
                  </w:r>
                  <w:r>
                    <w:t>portal hypertension.</w:t>
                  </w:r>
                </w:p>
                <w:p w:rsidR="00397BEB" w:rsidRDefault="00397BEB">
                  <w:pPr>
                    <w:pStyle w:val="NoSpacing"/>
                  </w:pPr>
                </w:p>
                <w:p w:rsidR="00397BEB" w:rsidRDefault="00322537">
                  <w:pPr>
                    <w:pStyle w:val="NoSpacing"/>
                    <w:rPr>
                      <w:color w:val="FF0000"/>
                      <w:u w:color="FF0000"/>
                    </w:rPr>
                  </w:pPr>
                  <w:r>
                    <w:t xml:space="preserve">Liver transplantation if Child score is B or C or if moderate to severe portal hypertension is present. (fitting LT criteria for HCC) </w:t>
                  </w:r>
                </w:p>
                <w:p w:rsidR="00397BEB" w:rsidRDefault="00397BEB">
                  <w:pPr>
                    <w:pStyle w:val="NoSpacing"/>
                  </w:pPr>
                </w:p>
                <w:p w:rsidR="00397BEB" w:rsidRDefault="00322537">
                  <w:pPr>
                    <w:pStyle w:val="NoSpacing"/>
                  </w:pPr>
                  <w:r>
                    <w:t>RFA may be used as an alternative for tumors up to 3 cm in poor risk patients</w:t>
                  </w:r>
                </w:p>
                <w:p w:rsidR="00397BEB" w:rsidRDefault="00397BEB">
                  <w:pPr>
                    <w:pStyle w:val="NoSpacing"/>
                  </w:pPr>
                </w:p>
                <w:p w:rsidR="00397BEB" w:rsidRDefault="00322537">
                  <w:pPr>
                    <w:pStyle w:val="NoSpacing"/>
                  </w:pPr>
                  <w:r>
                    <w:t>TACE can be conside</w:t>
                  </w:r>
                  <w:r>
                    <w:t xml:space="preserve">red to downstage tumours to fit in size criteria for transplant / facilitate resection. </w:t>
                  </w:r>
                </w:p>
                <w:p w:rsidR="00397BEB" w:rsidRDefault="00397BEB">
                  <w:pPr>
                    <w:pStyle w:val="NoSpacing"/>
                  </w:pPr>
                </w:p>
                <w:p w:rsidR="00397BEB" w:rsidRDefault="00397BEB">
                  <w:pPr>
                    <w:pStyle w:val="NoSpacing"/>
                  </w:pPr>
                </w:p>
                <w:p w:rsidR="00397BEB" w:rsidRDefault="00397BEB">
                  <w:pPr>
                    <w:pStyle w:val="NoSpacing"/>
                  </w:pPr>
                </w:p>
              </w:txbxContent>
            </v:textbox>
          </v:shape>
        </w:pict>
      </w:r>
      <w:r w:rsidRPr="00397BEB">
        <w:pict>
          <v:shape id="_x0000_s1038" type="#_x0000_t202" style="position:absolute;margin-left:137.5pt;margin-top:10.3pt;width:158.2pt;height:329.2pt;z-index:251663360;visibility:visible;mso-wrap-distance-left:0;mso-wrap-distance-right:0;mso-position-vertical-relative:line" strokeweight=".8pt">
            <v:textbox>
              <w:txbxContent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Multiple/ bilobar tumours,  Inadequate FLR, No extra hepatic disease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Limited co-morbidity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Good liver function(Child A,B)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</w:pPr>
                  <w:r>
                    <w:t>Transarterial chemo</w:t>
                  </w:r>
                  <w:r>
                    <w:rPr>
                      <w:lang w:val="en-US"/>
                    </w:rPr>
                    <w:t xml:space="preserve">-embolization (TACE) </w:t>
                  </w:r>
                  <w:r>
                    <w:rPr>
                      <w:lang w:val="en-US"/>
                    </w:rPr>
                    <w:t>if no portal venous thrombosis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jc w:val="both"/>
                  </w:pPr>
                  <w:r>
                    <w:rPr>
                      <w:lang w:val="en-US"/>
                    </w:rPr>
                    <w:t>Multiple sessions of TACE can be given at 3 monthly intervals for control.</w:t>
                  </w:r>
                </w:p>
                <w:p w:rsidR="00397BEB" w:rsidRDefault="00397BEB">
                  <w:pPr>
                    <w:pStyle w:val="Body"/>
                    <w:spacing w:after="0" w:line="240" w:lineRule="auto"/>
                    <w:jc w:val="both"/>
                  </w:pPr>
                </w:p>
                <w:p w:rsidR="00397BEB" w:rsidRDefault="0032253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 reassess for curative resection with or without augmentation of FLR by PVE</w:t>
                  </w:r>
                </w:p>
                <w:p w:rsidR="00397BEB" w:rsidRDefault="00397BEB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397BEB" w:rsidRDefault="0032253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OR </w:t>
                  </w:r>
                </w:p>
                <w:p w:rsidR="00397BEB" w:rsidRDefault="00322537">
                  <w:pPr>
                    <w:pStyle w:val="NoSpacing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add Sorafenib/Lenvatinib </w:t>
                  </w:r>
                </w:p>
                <w:p w:rsidR="00397BEB" w:rsidRDefault="00397BEB">
                  <w:pPr>
                    <w:pStyle w:val="NoSpacing"/>
                    <w:rPr>
                      <w:sz w:val="24"/>
                      <w:szCs w:val="24"/>
                      <w:u w:val="single"/>
                    </w:rPr>
                  </w:pPr>
                </w:p>
                <w:p w:rsidR="00397BEB" w:rsidRDefault="00397BEB">
                  <w:pPr>
                    <w:pStyle w:val="NoSpacing"/>
                  </w:pPr>
                </w:p>
              </w:txbxContent>
            </v:textbox>
          </v:shape>
        </w:pict>
      </w: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 w:rsidRPr="00397BEB">
        <w:pict>
          <v:shape id="_x0000_s1039" type="#_x0000_t202" style="position:absolute;margin-left:297pt;margin-top:5.9pt;width:115.2pt;height:193.6pt;z-index:251659264;visibility:visible;mso-wrap-distance-left:0;mso-wrap-distance-right:0;mso-position-vertical-relative:line" strokeweight=".8pt">
            <v:textbox>
              <w:txbxContent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  Extra hepatic disease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Irrespec</w:t>
                  </w:r>
                  <w:r>
                    <w:rPr>
                      <w:b/>
                      <w:bCs/>
                      <w:lang w:val="en-US"/>
                    </w:rPr>
                    <w:t>tive of PVT, or no and size of the tumors and good liver function (Child A or early B)</w:t>
                  </w:r>
                </w:p>
                <w:p w:rsidR="00397BEB" w:rsidRDefault="00397BEB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</w:p>
                <w:p w:rsidR="00397BEB" w:rsidRDefault="00322537">
                  <w:pPr>
                    <w:pStyle w:val="Body"/>
                    <w:spacing w:after="0" w:line="240" w:lineRule="auto"/>
                    <w:rPr>
                      <w:color w:val="FF0000"/>
                      <w:u w:val="single" w:color="FF0000"/>
                    </w:rPr>
                  </w:pPr>
                  <w:r>
                    <w:rPr>
                      <w:u w:val="single"/>
                      <w:lang w:val="en-US"/>
                    </w:rPr>
                    <w:t>Palliative therapy with targeted agents with Sorafenib/ Lenvatinib</w:t>
                  </w:r>
                </w:p>
                <w:p w:rsidR="00397BEB" w:rsidRDefault="00397BEB">
                  <w:pPr>
                    <w:pStyle w:val="Body"/>
                    <w:spacing w:after="0" w:line="240" w:lineRule="auto"/>
                  </w:pPr>
                </w:p>
              </w:txbxContent>
            </v:textbox>
          </v:shape>
        </w:pict>
      </w: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22537">
      <w:pPr>
        <w:pStyle w:val="Body"/>
        <w:tabs>
          <w:tab w:val="left" w:pos="609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397BEB" w:rsidRDefault="00397BEB">
      <w:pPr>
        <w:pStyle w:val="Body"/>
        <w:tabs>
          <w:tab w:val="left" w:pos="609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97BEB">
      <w:pPr>
        <w:pStyle w:val="Body"/>
        <w:tabs>
          <w:tab w:val="left" w:pos="6090"/>
        </w:tabs>
        <w:spacing w:line="360" w:lineRule="auto"/>
        <w:rPr>
          <w:rFonts w:ascii="Arial" w:eastAsia="Arial" w:hAnsi="Arial" w:cs="Arial"/>
        </w:rPr>
      </w:pPr>
      <w:r w:rsidRPr="00397BEB">
        <w:rPr>
          <w:rFonts w:ascii="Arial" w:eastAsia="Arial" w:hAnsi="Arial" w:cs="Arial"/>
          <w:sz w:val="20"/>
          <w:szCs w:val="20"/>
        </w:rPr>
        <w:pict>
          <v:shape id="_x0000_s1040" type="#_x0000_t202" style="position:absolute;margin-left:-60.5pt;margin-top:13.7pt;width:563.4pt;height:73.6pt;z-index:251665408;visibility:visible;mso-wrap-distance-left:0;mso-wrap-distance-right:0;mso-position-vertical-relative:line" strokeweight=".8pt">
            <v:textbox>
              <w:txbxContent>
                <w:p w:rsidR="00397BEB" w:rsidRDefault="00322537">
                  <w:pPr>
                    <w:pStyle w:val="Body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fr-FR"/>
                    </w:rPr>
                    <w:t>Surveillance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</w:pPr>
                  <w:r>
                    <w:rPr>
                      <w:lang w:val="en-US"/>
                    </w:rPr>
                    <w:t xml:space="preserve">Patients must be followed up for liver failure and recurrence every 3 months with LFT, AFP and  </w:t>
                  </w:r>
                  <w:r>
                    <w:rPr>
                      <w:u w:val="single"/>
                      <w:lang w:val="en-US"/>
                    </w:rPr>
                    <w:t xml:space="preserve">contrast MRI </w:t>
                  </w:r>
                  <w:r>
                    <w:rPr>
                      <w:lang w:val="en-US"/>
                    </w:rPr>
                    <w:t>/ CECT Scan,abdomen and pelvis + CT chest</w:t>
                  </w:r>
                </w:p>
                <w:p w:rsidR="00397BEB" w:rsidRDefault="00322537">
                  <w:pPr>
                    <w:pStyle w:val="Body"/>
                    <w:spacing w:after="0" w:line="240" w:lineRule="auto"/>
                  </w:pPr>
                  <w:r>
                    <w:rPr>
                      <w:lang w:val="en-US"/>
                    </w:rPr>
                    <w:t>Local recurrence with good liver function would necessitate complete work up for potentially curable salv</w:t>
                  </w:r>
                  <w:r>
                    <w:rPr>
                      <w:lang w:val="en-US"/>
                    </w:rPr>
                    <w:t xml:space="preserve">age treatments </w:t>
                  </w:r>
                </w:p>
              </w:txbxContent>
            </v:textbox>
          </v:shape>
        </w:pict>
      </w:r>
    </w:p>
    <w:p w:rsidR="00397BEB" w:rsidRDefault="00397BEB">
      <w:pPr>
        <w:pStyle w:val="Body"/>
        <w:tabs>
          <w:tab w:val="left" w:pos="609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97BEB" w:rsidRDefault="00322537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KEY – </w:t>
      </w:r>
      <w:r>
        <w:rPr>
          <w:b/>
          <w:bCs/>
          <w:sz w:val="32"/>
          <w:szCs w:val="32"/>
          <w:lang w:val="en-US"/>
        </w:rPr>
        <w:t xml:space="preserve">Normal font- Essential, Underlined -desirable, italics- optional         </w:t>
      </w:r>
    </w:p>
    <w:p w:rsidR="00397BEB" w:rsidRDefault="00322537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NOTES:</w:t>
      </w:r>
    </w:p>
    <w:p w:rsidR="00397BEB" w:rsidRDefault="0032253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Screening is </w:t>
      </w:r>
      <w:r>
        <w:rPr>
          <w:sz w:val="32"/>
          <w:szCs w:val="32"/>
        </w:rPr>
        <w:t>suggested for all cirrhotics with good functional status (who would be eligible for treatment if a lesion is found), and those who are HBsAg+ve. A 6 monthly ultrasonography and AFP is recommended by the APASL. A new nodule or growing nodule to be investiga</w:t>
      </w:r>
      <w:r>
        <w:rPr>
          <w:sz w:val="32"/>
          <w:szCs w:val="32"/>
        </w:rPr>
        <w:t xml:space="preserve">ted by cross sectional imaging. </w:t>
      </w:r>
    </w:p>
    <w:p w:rsidR="00397BEB" w:rsidRDefault="0032253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For diagnosis of lesions &gt; 2cm a triple phase CECT abdomen is appropriate. </w:t>
      </w:r>
      <w:r>
        <w:rPr>
          <w:sz w:val="32"/>
          <w:szCs w:val="32"/>
          <w:u w:val="single"/>
        </w:rPr>
        <w:t>For smaller lesions a dynamic multiphase contrast MRI may be added.The LIRADS score should be followed</w:t>
      </w:r>
      <w:r>
        <w:rPr>
          <w:sz w:val="32"/>
          <w:szCs w:val="32"/>
        </w:rPr>
        <w:t xml:space="preserve">. For LR-3 lesions, repeat imaging at 3 months is effective unless immediate decision making is required eg transplant suitability assesment. </w:t>
      </w:r>
      <w:r>
        <w:rPr>
          <w:sz w:val="32"/>
          <w:szCs w:val="32"/>
          <w:u w:val="single"/>
        </w:rPr>
        <w:t>Contrast US is an effective tool for problem solving especially for patients with raised creatinine.</w:t>
      </w:r>
      <w:r>
        <w:rPr>
          <w:i/>
          <w:iCs/>
          <w:sz w:val="32"/>
          <w:szCs w:val="32"/>
        </w:rPr>
        <w:t xml:space="preserve">18 FDG PET CT </w:t>
      </w:r>
      <w:r>
        <w:rPr>
          <w:i/>
          <w:iCs/>
          <w:sz w:val="32"/>
          <w:szCs w:val="32"/>
        </w:rPr>
        <w:t>has no role in routine evaluation or follow up of HCC (except borderline renal function and for transpalnt evaluation). 11C Choline PET may be useful for troubleshooting.</w:t>
      </w:r>
    </w:p>
    <w:p w:rsidR="00397BEB" w:rsidRDefault="0032253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Patients with Hepatitis B and C will need evaluation and treatment for the virus in a</w:t>
      </w:r>
      <w:r>
        <w:rPr>
          <w:sz w:val="32"/>
          <w:szCs w:val="32"/>
        </w:rPr>
        <w:t>ddition and all cirrhotics need management in conjunction with gastroenterologists.</w:t>
      </w:r>
    </w:p>
    <w:p w:rsidR="00397BEB" w:rsidRDefault="0032253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Liver resection for non cirrhotic patients is ideal with FLR &gt; 30% but in selected cases with excellent liver function even FLR 20% may be tolerated. In cirrhotic patients,</w:t>
      </w:r>
      <w:r>
        <w:rPr>
          <w:sz w:val="32"/>
          <w:szCs w:val="32"/>
        </w:rPr>
        <w:t xml:space="preserve"> ideal candidates are those with Childs A status, platelet counts &gt; 100,000 and no varices or HVPG &lt; 10 mmHg wherein FLR 40% may be accepted. </w:t>
      </w:r>
      <w:r>
        <w:rPr>
          <w:sz w:val="32"/>
          <w:szCs w:val="32"/>
          <w:u w:val="single"/>
        </w:rPr>
        <w:t>For those with bilirubin 1-2 mg/dL and portal hypertension, segmental resections may be considered in selected cas</w:t>
      </w:r>
      <w:r>
        <w:rPr>
          <w:sz w:val="32"/>
          <w:szCs w:val="32"/>
          <w:u w:val="single"/>
        </w:rPr>
        <w:t>es and is ideally predicted by ICG resection &lt;15%</w:t>
      </w:r>
    </w:p>
    <w:p w:rsidR="00397BEB" w:rsidRDefault="0032253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Liver transplantation is ideally reserved for patients within Milan criteria (Single tumour &lt; 5cm or not &gt; 3 tumours each &lt; 3cm in diameter) wherein the mortality is similar to patients not having a tumour </w:t>
      </w:r>
      <w:r>
        <w:rPr>
          <w:sz w:val="32"/>
          <w:szCs w:val="32"/>
        </w:rPr>
        <w:t xml:space="preserve">. </w:t>
      </w:r>
      <w:r>
        <w:rPr>
          <w:i/>
          <w:iCs/>
          <w:sz w:val="32"/>
          <w:szCs w:val="32"/>
        </w:rPr>
        <w:t xml:space="preserve">With additional increase in size and number the risk of tumour recurrence post transplant increases proportionately (The Metro Ticket concept). The decision to transplant is best taken as a decision between the transplant team and the patient and family </w:t>
      </w:r>
      <w:r>
        <w:rPr>
          <w:i/>
          <w:iCs/>
          <w:sz w:val="32"/>
          <w:szCs w:val="32"/>
        </w:rPr>
        <w:t>understanding the risks involved.</w:t>
      </w:r>
      <w:r>
        <w:rPr>
          <w:sz w:val="32"/>
          <w:szCs w:val="32"/>
        </w:rPr>
        <w:t xml:space="preserve"> Extrahepatic metastasis and tumour thrombus in the portal vein is an absolute contraindication. </w:t>
      </w:r>
      <w:r>
        <w:rPr>
          <w:i/>
          <w:iCs/>
          <w:sz w:val="32"/>
          <w:szCs w:val="32"/>
        </w:rPr>
        <w:t>In very selected cases segmental portal vein thrombosis patients may be transplanted under a study protocol.</w:t>
      </w:r>
      <w:r>
        <w:rPr>
          <w:sz w:val="32"/>
          <w:szCs w:val="32"/>
        </w:rPr>
        <w:t xml:space="preserve"> AFP &gt; 1000 ng/mL </w:t>
      </w:r>
      <w:r>
        <w:rPr>
          <w:sz w:val="32"/>
          <w:szCs w:val="32"/>
        </w:rPr>
        <w:t>is usually a contraindication for transplant.</w:t>
      </w:r>
    </w:p>
    <w:p w:rsidR="00397BEB" w:rsidRDefault="00322537">
      <w:pPr>
        <w:pStyle w:val="ListParagraph"/>
        <w:numPr>
          <w:ilvl w:val="0"/>
          <w:numId w:val="2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>In tumours less than 3 cm RFA may give similar results to resection. It is particularly useful in deeper tumours, wherin a large resection may be spared or in unfit patients. The decision should be taken by a m</w:t>
      </w:r>
      <w:r>
        <w:rPr>
          <w:sz w:val="32"/>
          <w:szCs w:val="32"/>
        </w:rPr>
        <w:t xml:space="preserve">ultidisciplinary team. RFA should not be considered in tumours &gt; 5cm in size. </w:t>
      </w:r>
      <w:r>
        <w:rPr>
          <w:sz w:val="32"/>
          <w:szCs w:val="32"/>
          <w:u w:val="single"/>
        </w:rPr>
        <w:t>TACE + ablation may be performed in tumours 3-5cm in size and proximity to vessels to overcome the heat sink effect.</w:t>
      </w:r>
      <w:r>
        <w:rPr>
          <w:i/>
          <w:iCs/>
          <w:sz w:val="32"/>
          <w:szCs w:val="32"/>
        </w:rPr>
        <w:t xml:space="preserve">Microwave ablation gives similar results to RFA. </w:t>
      </w:r>
    </w:p>
    <w:p w:rsidR="00397BEB" w:rsidRDefault="00322537">
      <w:pPr>
        <w:pStyle w:val="ListParagraph"/>
        <w:numPr>
          <w:ilvl w:val="0"/>
          <w:numId w:val="2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Transarteria</w:t>
      </w:r>
      <w:r>
        <w:rPr>
          <w:i/>
          <w:iCs/>
          <w:sz w:val="32"/>
          <w:szCs w:val="32"/>
        </w:rPr>
        <w:t>l radioembolisation (TARE) has no proven benefit over TACE or sorafenib. Anecdotal cases of resolution of portal vein tumour involvement with TARE facilitating transplant exist.</w:t>
      </w:r>
    </w:p>
    <w:p w:rsidR="00397BEB" w:rsidRDefault="0032253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i/>
          <w:iCs/>
          <w:sz w:val="32"/>
          <w:szCs w:val="32"/>
        </w:rPr>
        <w:t>SBRT is under evaluation for tumours where ablation or embolization has failed</w:t>
      </w:r>
      <w:r>
        <w:rPr>
          <w:i/>
          <w:iCs/>
          <w:sz w:val="32"/>
          <w:szCs w:val="32"/>
        </w:rPr>
        <w:t xml:space="preserve"> or is contraindicated especially in presence of portal vein thrombosis and size &lt; 5cm.</w:t>
      </w:r>
    </w:p>
    <w:p w:rsidR="00397BEB" w:rsidRDefault="0032253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Targeted agents such as Sorafenib / Lenvatinib may improve survival in metastatic disease but there is no evidence of improvement of quality of life. These are currentl</w:t>
      </w:r>
      <w:r>
        <w:rPr>
          <w:sz w:val="32"/>
          <w:szCs w:val="32"/>
          <w:u w:val="single"/>
        </w:rPr>
        <w:t xml:space="preserve">y not cost effective in India. </w:t>
      </w:r>
      <w:r>
        <w:rPr>
          <w:sz w:val="32"/>
          <w:szCs w:val="32"/>
        </w:rPr>
        <w:t xml:space="preserve">The recommended dose is 400mg bd but often lesser doses need to be given to improve tolerability. There is no evidence to support use of </w:t>
      </w:r>
      <w:r>
        <w:rPr>
          <w:sz w:val="32"/>
          <w:szCs w:val="32"/>
        </w:rPr>
        <w:lastRenderedPageBreak/>
        <w:t xml:space="preserve">these drugs in conjunction with other treatment modalities. </w:t>
      </w:r>
      <w:r>
        <w:rPr>
          <w:sz w:val="32"/>
          <w:szCs w:val="32"/>
        </w:rPr>
        <w:t>Nivolumab  may be considered</w:t>
      </w:r>
      <w:r>
        <w:rPr>
          <w:sz w:val="32"/>
          <w:szCs w:val="32"/>
        </w:rPr>
        <w:t xml:space="preserve"> for initial responders to sorafenib but now progressing.</w:t>
      </w:r>
    </w:p>
    <w:p w:rsidR="00397BEB" w:rsidRDefault="00397BEB">
      <w:pPr>
        <w:pStyle w:val="ListParagraph"/>
        <w:rPr>
          <w:sz w:val="32"/>
          <w:szCs w:val="32"/>
        </w:rPr>
      </w:pPr>
    </w:p>
    <w:p w:rsidR="00397BEB" w:rsidRDefault="00322537">
      <w:pPr>
        <w:pStyle w:val="Body"/>
        <w:spacing w:after="12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References</w:t>
      </w:r>
    </w:p>
    <w:p w:rsidR="00397BEB" w:rsidRDefault="0032253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Villanueva A. Hepatocellular Carcinoma. N Engl J Med. 2019 11;380(15):1450-1462.</w:t>
      </w:r>
    </w:p>
    <w:p w:rsidR="00397BEB" w:rsidRDefault="00322537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Llovet JM, Bru C, Bruix J. Prognosis of hepatocellular carcinoma: the BCLC staging classification. Semin </w:t>
      </w:r>
      <w:r>
        <w:rPr>
          <w:rFonts w:ascii="Arial" w:hAnsi="Arial"/>
        </w:rPr>
        <w:t>Liver Dis1999;19:329</w:t>
      </w:r>
      <w:r>
        <w:rPr>
          <w:rFonts w:ascii="Arial" w:hAnsi="Arial"/>
        </w:rPr>
        <w:t>–</w:t>
      </w:r>
      <w:r>
        <w:rPr>
          <w:rFonts w:ascii="Arial" w:hAnsi="Arial"/>
        </w:rPr>
        <w:t>38.</w:t>
      </w:r>
    </w:p>
    <w:p w:rsidR="00397BEB" w:rsidRDefault="00322537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kern w:val="36"/>
        </w:rPr>
        <w:t xml:space="preserve">Sorafenib in Advanced Hepatocellular Carcinoma </w:t>
      </w:r>
      <w:r>
        <w:rPr>
          <w:rFonts w:ascii="Arial" w:hAnsi="Arial"/>
        </w:rPr>
        <w:t>Josep M. Llovet, M.D., Sergio Ricci, M.D., Vincenzo Mazzaferro, M.D., Philip Hilgard, M.D., Edward Gane, M.D., Jean-Fr</w:t>
      </w:r>
      <w:r>
        <w:rPr>
          <w:rFonts w:ascii="Arial" w:hAnsi="Arial"/>
        </w:rPr>
        <w:t>é</w:t>
      </w:r>
      <w:r>
        <w:rPr>
          <w:rFonts w:ascii="Arial" w:hAnsi="Arial"/>
        </w:rPr>
        <w:t>d</w:t>
      </w:r>
      <w:r>
        <w:rPr>
          <w:rFonts w:ascii="Arial" w:hAnsi="Arial"/>
        </w:rPr>
        <w:t>é</w:t>
      </w:r>
      <w:r>
        <w:rPr>
          <w:rFonts w:ascii="Arial" w:hAnsi="Arial"/>
        </w:rPr>
        <w:t>ric Blanc, M.D., Andre Cosme de Oliveira, M.D., Armando Santoro</w:t>
      </w:r>
      <w:r>
        <w:rPr>
          <w:rFonts w:ascii="Arial" w:hAnsi="Arial"/>
        </w:rPr>
        <w:t>, M.D., Jean-Luc Raoul, M.D., Alejandro Forner, M.D., Myron Schwartz, M.D., Camillo Porta, M.D., Stefan Zeuzem, M.D., Luigi Bolondi, M.D., Tim F. Greten, M.D., Peter R. Galle, M.D., Jean-Fran</w:t>
      </w:r>
      <w:r>
        <w:rPr>
          <w:rFonts w:ascii="Arial" w:hAnsi="Arial"/>
        </w:rPr>
        <w:t>ç</w:t>
      </w:r>
      <w:r>
        <w:rPr>
          <w:rFonts w:ascii="Arial" w:hAnsi="Arial"/>
        </w:rPr>
        <w:t>ois Seitz, M.D., Ivan Borbath, M.D., Dieter H</w:t>
      </w:r>
      <w:r>
        <w:rPr>
          <w:rFonts w:ascii="Arial" w:hAnsi="Arial"/>
        </w:rPr>
        <w:t>ä</w:t>
      </w:r>
      <w:r>
        <w:rPr>
          <w:rFonts w:ascii="Arial" w:hAnsi="Arial"/>
        </w:rPr>
        <w:t>ussinger, M.D., To</w:t>
      </w:r>
      <w:r>
        <w:rPr>
          <w:rFonts w:ascii="Arial" w:hAnsi="Arial"/>
        </w:rPr>
        <w:t>m Giannaris, B.Sc., Minghua Shan, Ph.D., Marius Moscovici, M.D., Dimitris Voliotis, M.D., and Jordi Bruix, M.D. for the SHARP Investigators Study Group. N Engl J Med 2008; 359:378-390</w:t>
      </w:r>
      <w:hyperlink r:id="rId7" w:history="1">
        <w:r>
          <w:rPr>
            <w:rStyle w:val="Hyperlink0"/>
            <w:rFonts w:ascii="Arial" w:hAnsi="Arial"/>
          </w:rPr>
          <w:t>July 24, 2008</w:t>
        </w:r>
      </w:hyperlink>
      <w:r>
        <w:rPr>
          <w:rStyle w:val="Hyperlink0"/>
          <w:rFonts w:ascii="Arial" w:hAnsi="Arial"/>
        </w:rPr>
        <w:t>DOI: 10.1</w:t>
      </w:r>
      <w:r>
        <w:rPr>
          <w:rStyle w:val="Hyperlink0"/>
          <w:rFonts w:ascii="Arial" w:hAnsi="Arial"/>
        </w:rPr>
        <w:t>056/NEJMoa0708857</w:t>
      </w:r>
    </w:p>
    <w:p w:rsidR="00397BEB" w:rsidRDefault="00322537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jc w:val="both"/>
        <w:outlineLvl w:val="0"/>
        <w:rPr>
          <w:rFonts w:ascii="Arial" w:hAnsi="Arial"/>
        </w:rPr>
      </w:pPr>
      <w:r>
        <w:rPr>
          <w:rStyle w:val="Hyperlink0"/>
          <w:rFonts w:ascii="Arial" w:hAnsi="Arial"/>
        </w:rPr>
        <w:t>Preresection transarterial chemoembolization for hepatocellular cxarcinoma: an experience with 23 patients.</w:t>
      </w:r>
      <w:hyperlink r:id="rId8" w:history="1">
        <w:r>
          <w:rPr>
            <w:rStyle w:val="Hyperlink0"/>
            <w:rFonts w:ascii="Arial" w:hAnsi="Arial"/>
          </w:rPr>
          <w:t>Goel M</w:t>
        </w:r>
      </w:hyperlink>
      <w:r>
        <w:rPr>
          <w:rStyle w:val="Hyperlink0"/>
          <w:rFonts w:ascii="Arial" w:hAnsi="Arial"/>
        </w:rPr>
        <w:t>1,</w:t>
      </w:r>
      <w:r>
        <w:rPr>
          <w:rStyle w:val="Hyperlink0"/>
          <w:rFonts w:ascii="Arial" w:hAnsi="Arial"/>
        </w:rPr>
        <w:t> </w:t>
      </w:r>
      <w:hyperlink r:id="rId9" w:history="1">
        <w:r>
          <w:rPr>
            <w:rStyle w:val="Hyperlink0"/>
            <w:rFonts w:ascii="Arial" w:hAnsi="Arial"/>
          </w:rPr>
          <w:t>Gaikwad V</w:t>
        </w:r>
      </w:hyperlink>
      <w:r>
        <w:rPr>
          <w:rStyle w:val="Hyperlink0"/>
          <w:rFonts w:ascii="Arial" w:hAnsi="Arial"/>
        </w:rPr>
        <w:t>,</w:t>
      </w:r>
      <w:r>
        <w:rPr>
          <w:rStyle w:val="Hyperlink0"/>
          <w:rFonts w:ascii="Arial" w:hAnsi="Arial"/>
        </w:rPr>
        <w:t> </w:t>
      </w:r>
      <w:hyperlink r:id="rId10" w:history="1">
        <w:r>
          <w:rPr>
            <w:rStyle w:val="Hyperlink0"/>
            <w:rFonts w:ascii="Arial" w:hAnsi="Arial"/>
          </w:rPr>
          <w:t>Dharia T</w:t>
        </w:r>
      </w:hyperlink>
      <w:r>
        <w:rPr>
          <w:rStyle w:val="Hyperlink0"/>
          <w:rFonts w:ascii="Arial" w:hAnsi="Arial"/>
        </w:rPr>
        <w:t>,</w:t>
      </w:r>
      <w:r>
        <w:rPr>
          <w:rStyle w:val="Hyperlink0"/>
          <w:rFonts w:ascii="Arial" w:hAnsi="Arial"/>
        </w:rPr>
        <w:t> </w:t>
      </w:r>
      <w:hyperlink r:id="rId11" w:history="1">
        <w:r>
          <w:rPr>
            <w:rStyle w:val="Hyperlink0"/>
            <w:rFonts w:ascii="Arial" w:hAnsi="Arial"/>
          </w:rPr>
          <w:t>Kulkarni S</w:t>
        </w:r>
      </w:hyperlink>
      <w:r>
        <w:rPr>
          <w:rStyle w:val="Hyperlink0"/>
          <w:rFonts w:ascii="Arial" w:hAnsi="Arial"/>
        </w:rPr>
        <w:t>,</w:t>
      </w:r>
      <w:r>
        <w:rPr>
          <w:rStyle w:val="Hyperlink0"/>
          <w:rFonts w:ascii="Arial" w:hAnsi="Arial"/>
        </w:rPr>
        <w:t> </w:t>
      </w:r>
      <w:hyperlink r:id="rId12" w:history="1">
        <w:r>
          <w:rPr>
            <w:rStyle w:val="Hyperlink0"/>
            <w:rFonts w:ascii="Arial" w:hAnsi="Arial"/>
          </w:rPr>
          <w:t>She</w:t>
        </w:r>
        <w:r>
          <w:rPr>
            <w:rStyle w:val="Hyperlink0"/>
            <w:rFonts w:ascii="Arial" w:hAnsi="Arial"/>
          </w:rPr>
          <w:t>tty N</w:t>
        </w:r>
      </w:hyperlink>
      <w:r>
        <w:rPr>
          <w:rStyle w:val="Hyperlink0"/>
          <w:rFonts w:ascii="Arial" w:hAnsi="Arial"/>
        </w:rPr>
        <w:t>,</w:t>
      </w:r>
      <w:r>
        <w:rPr>
          <w:rStyle w:val="Hyperlink0"/>
          <w:rFonts w:ascii="Arial" w:hAnsi="Arial"/>
        </w:rPr>
        <w:t> </w:t>
      </w:r>
      <w:hyperlink r:id="rId13" w:history="1">
        <w:r>
          <w:rPr>
            <w:rStyle w:val="Hyperlink0"/>
            <w:rFonts w:ascii="Arial" w:hAnsi="Arial"/>
          </w:rPr>
          <w:t>Shrikhande SV</w:t>
        </w:r>
      </w:hyperlink>
      <w:r>
        <w:rPr>
          <w:rStyle w:val="Hyperlink0"/>
          <w:rFonts w:ascii="Arial" w:hAnsi="Arial"/>
        </w:rPr>
        <w:t xml:space="preserve">. </w:t>
      </w:r>
      <w:hyperlink r:id="rId14" w:history="1">
        <w:r>
          <w:rPr>
            <w:rStyle w:val="Hyperlink0"/>
            <w:rFonts w:ascii="Arial" w:hAnsi="Arial"/>
          </w:rPr>
          <w:t>Indian J Gastroenterol.</w:t>
        </w:r>
      </w:hyperlink>
      <w:r>
        <w:rPr>
          <w:rStyle w:val="Hyperlink0"/>
          <w:rFonts w:ascii="Arial" w:hAnsi="Arial"/>
        </w:rPr>
        <w:t> </w:t>
      </w:r>
      <w:r>
        <w:rPr>
          <w:rStyle w:val="Hyperlink0"/>
          <w:rFonts w:ascii="Arial" w:hAnsi="Arial"/>
        </w:rPr>
        <w:t>2014 Sep;3</w:t>
      </w:r>
      <w:r>
        <w:rPr>
          <w:rStyle w:val="Hyperlink0"/>
          <w:rFonts w:ascii="Arial" w:hAnsi="Arial"/>
        </w:rPr>
        <w:t>3(5):432-9. doi: 10.1007/s12664-014-0490-y. Epub 2014 Jul 19 PMID:25037076.</w:t>
      </w:r>
    </w:p>
    <w:p w:rsidR="00397BEB" w:rsidRDefault="0032253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0"/>
        <w:rPr>
          <w:rFonts w:ascii="Arial" w:hAnsi="Arial"/>
        </w:rPr>
      </w:pPr>
      <w:r>
        <w:rPr>
          <w:rStyle w:val="Hyperlink0"/>
          <w:rFonts w:ascii="Arial" w:hAnsi="Arial"/>
        </w:rPr>
        <w:t>Mazzaferro V, Sposito C, Zhou J, et al. Metroticket 2.0 Model for Analysis of Competing Risks of Death After Liver Transplantation for Hepatocellular Carcinoma. Gastroenterology. 2</w:t>
      </w:r>
      <w:r>
        <w:rPr>
          <w:rStyle w:val="Hyperlink0"/>
          <w:rFonts w:ascii="Arial" w:hAnsi="Arial"/>
        </w:rPr>
        <w:t>018 Jan;154(1):128-139.</w:t>
      </w:r>
    </w:p>
    <w:p w:rsidR="00397BEB" w:rsidRDefault="003225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Arial" w:hAnsi="Arial"/>
        </w:rPr>
      </w:pPr>
      <w:r>
        <w:rPr>
          <w:rStyle w:val="Hyperlink0"/>
          <w:rFonts w:ascii="Arial" w:hAnsi="Arial"/>
        </w:rPr>
        <w:t>Zou J, Zhu W, Meng H, et al. Efficacy and safety of selective internal radiotherapy versus sorafenib for intermediate-locally advanced hepatocellular carcinoma: a systematic review and meta-analysis. Expert Rev Gastroenterol Hepatol</w:t>
      </w:r>
      <w:r>
        <w:rPr>
          <w:rStyle w:val="Hyperlink0"/>
          <w:rFonts w:ascii="Arial" w:hAnsi="Arial"/>
        </w:rPr>
        <w:t xml:space="preserve">. 2019 Mar;13(3):271-279. </w:t>
      </w:r>
    </w:p>
    <w:p w:rsidR="00397BEB" w:rsidRDefault="003225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Arial" w:hAnsi="Arial"/>
        </w:rPr>
      </w:pPr>
      <w:r>
        <w:rPr>
          <w:rStyle w:val="None"/>
          <w:rFonts w:ascii="Arial" w:hAnsi="Arial"/>
        </w:rPr>
        <w:t>Ricke J, Klumpen HJ, Amthauer H, et al. Impact of combined selective internal radiation therapy and sorafenib on survival in advanced hepatocellular carcinoma. J Hepatol. 2019 Aug 14. pii: S0168-8278(19)30472-6.</w:t>
      </w:r>
    </w:p>
    <w:p w:rsidR="00397BEB" w:rsidRDefault="003225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</w:rPr>
      </w:pPr>
      <w:r>
        <w:rPr>
          <w:rStyle w:val="None"/>
          <w:rFonts w:ascii="Arial" w:hAnsi="Arial"/>
        </w:rPr>
        <w:t xml:space="preserve">Gupta N, Verma </w:t>
      </w:r>
      <w:r>
        <w:rPr>
          <w:rStyle w:val="None"/>
          <w:rFonts w:ascii="Arial" w:hAnsi="Arial"/>
        </w:rPr>
        <w:t>RK, Prinja S, Dhiman RK. Cost-effectiveness of Sorafenib for Treatment of Advanced Hepatocellular Carcinoma in India. J Clin Exp Hepatol. 2019 Jul-Aug;9(4):468-475.</w:t>
      </w:r>
    </w:p>
    <w:p w:rsidR="00397BEB" w:rsidRDefault="00397BE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spacing w:after="0" w:line="240" w:lineRule="auto"/>
        <w:ind w:left="644"/>
        <w:jc w:val="both"/>
        <w:outlineLvl w:val="0"/>
        <w:rPr>
          <w:rStyle w:val="None"/>
          <w:rFonts w:ascii="Arial" w:eastAsia="Arial" w:hAnsi="Arial" w:cs="Arial"/>
          <w:sz w:val="24"/>
          <w:szCs w:val="24"/>
        </w:rPr>
      </w:pPr>
    </w:p>
    <w:p w:rsidR="00397BEB" w:rsidRDefault="00397BEB">
      <w:pPr>
        <w:pStyle w:val="ListParagraph"/>
        <w:spacing w:after="120" w:line="240" w:lineRule="auto"/>
        <w:jc w:val="both"/>
        <w:rPr>
          <w:rStyle w:val="None"/>
          <w:rFonts w:ascii="Arial" w:eastAsia="Arial" w:hAnsi="Arial" w:cs="Arial"/>
        </w:rPr>
      </w:pPr>
    </w:p>
    <w:p w:rsidR="00397BEB" w:rsidRDefault="00397BEB">
      <w:pPr>
        <w:pStyle w:val="Body"/>
        <w:spacing w:after="120" w:line="240" w:lineRule="auto"/>
        <w:jc w:val="both"/>
      </w:pPr>
    </w:p>
    <w:sectPr w:rsidR="00397BEB" w:rsidSect="00397BEB">
      <w:headerReference w:type="default" r:id="rId15"/>
      <w:footerReference w:type="default" r:id="rId16"/>
      <w:pgSz w:w="11900" w:h="16840"/>
      <w:pgMar w:top="1440" w:right="424" w:bottom="1440" w:left="1440" w:header="28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37" w:rsidRDefault="00322537" w:rsidP="00397BEB">
      <w:r>
        <w:separator/>
      </w:r>
    </w:p>
  </w:endnote>
  <w:endnote w:type="continuationSeparator" w:id="1">
    <w:p w:rsidR="00322537" w:rsidRDefault="00322537" w:rsidP="0039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EB" w:rsidRDefault="00397BE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37" w:rsidRDefault="00322537" w:rsidP="00397BEB">
      <w:r>
        <w:separator/>
      </w:r>
    </w:p>
  </w:footnote>
  <w:footnote w:type="continuationSeparator" w:id="1">
    <w:p w:rsidR="00322537" w:rsidRDefault="00322537" w:rsidP="00397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EB" w:rsidRDefault="00397B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92B"/>
    <w:multiLevelType w:val="hybridMultilevel"/>
    <w:tmpl w:val="D958C646"/>
    <w:styleLink w:val="ImportedStyle1"/>
    <w:lvl w:ilvl="0" w:tplc="F1EEEB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696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F0FD16">
      <w:start w:val="1"/>
      <w:numFmt w:val="lowerRoman"/>
      <w:lvlText w:val="%3."/>
      <w:lvlJc w:val="left"/>
      <w:pPr>
        <w:ind w:left="216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EE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801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45E96">
      <w:start w:val="1"/>
      <w:numFmt w:val="lowerRoman"/>
      <w:lvlText w:val="%6."/>
      <w:lvlJc w:val="left"/>
      <w:pPr>
        <w:ind w:left="432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812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69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2E9AA">
      <w:start w:val="1"/>
      <w:numFmt w:val="lowerRoman"/>
      <w:lvlText w:val="%9."/>
      <w:lvlJc w:val="left"/>
      <w:pPr>
        <w:ind w:left="648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6A2A35"/>
    <w:multiLevelType w:val="hybridMultilevel"/>
    <w:tmpl w:val="D958C646"/>
    <w:numStyleLink w:val="ImportedStyle1"/>
  </w:abstractNum>
  <w:abstractNum w:abstractNumId="2">
    <w:nsid w:val="68513E23"/>
    <w:multiLevelType w:val="hybridMultilevel"/>
    <w:tmpl w:val="12AC8FE0"/>
    <w:numStyleLink w:val="ImportedStyle2"/>
  </w:abstractNum>
  <w:abstractNum w:abstractNumId="3">
    <w:nsid w:val="7B4425E2"/>
    <w:multiLevelType w:val="hybridMultilevel"/>
    <w:tmpl w:val="12AC8FE0"/>
    <w:styleLink w:val="ImportedStyle2"/>
    <w:lvl w:ilvl="0" w:tplc="1CECD7FC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64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665FB4">
      <w:start w:val="1"/>
      <w:numFmt w:val="lowerLetter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CE61A6">
      <w:start w:val="1"/>
      <w:numFmt w:val="lowerRoman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2160" w:hanging="3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64DBDA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2748" w:hanging="2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46E744">
      <w:start w:val="1"/>
      <w:numFmt w:val="lowerLetter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AEC2DC">
      <w:start w:val="1"/>
      <w:numFmt w:val="lowerRoman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4320" w:hanging="3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F49A94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28EF6C">
      <w:start w:val="1"/>
      <w:numFmt w:val="lowerLetter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36C">
      <w:start w:val="1"/>
      <w:numFmt w:val="lowerRoman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536"/>
          <w:tab w:val="left" w:pos="9536"/>
          <w:tab w:val="left" w:pos="9536"/>
          <w:tab w:val="left" w:pos="9536"/>
          <w:tab w:val="left" w:pos="9536"/>
          <w:tab w:val="left" w:pos="9536"/>
        </w:tabs>
        <w:ind w:left="6412" w:hanging="23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 w:tplc="473C5E72">
        <w:start w:val="1"/>
        <w:numFmt w:val="decimal"/>
        <w:lvlText w:val="%1."/>
        <w:lvlJc w:val="left"/>
        <w:pPr>
          <w:ind w:left="64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5CE3CA">
        <w:start w:val="1"/>
        <w:numFmt w:val="lowerLetter"/>
        <w:lvlText w:val="%2.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102732">
        <w:start w:val="1"/>
        <w:numFmt w:val="lowerRoman"/>
        <w:lvlText w:val="%3."/>
        <w:lvlJc w:val="left"/>
        <w:pPr>
          <w:ind w:left="2160" w:hanging="3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CA8DEE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D42286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5EA51E">
        <w:start w:val="1"/>
        <w:numFmt w:val="lowerRoman"/>
        <w:lvlText w:val="%6."/>
        <w:lvlJc w:val="left"/>
        <w:pPr>
          <w:ind w:left="4320" w:hanging="3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75F8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65E06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243F54">
        <w:start w:val="1"/>
        <w:numFmt w:val="lowerRoman"/>
        <w:lvlText w:val="%9."/>
        <w:lvlJc w:val="left"/>
        <w:pPr>
          <w:ind w:left="6480" w:hanging="3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473C5E72">
        <w:start w:val="1"/>
        <w:numFmt w:val="decimal"/>
        <w:lvlText w:val="%1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64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5CE3CA">
        <w:start w:val="1"/>
        <w:numFmt w:val="lowerLetter"/>
        <w:lvlText w:val="%2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B102732">
        <w:start w:val="1"/>
        <w:numFmt w:val="lowerRoman"/>
        <w:lvlText w:val="%3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2160" w:hanging="31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0CA8DEE">
        <w:start w:val="1"/>
        <w:numFmt w:val="decimal"/>
        <w:lvlText w:val="%4."/>
        <w:lvlJc w:val="left"/>
        <w:pPr>
          <w:tabs>
            <w:tab w:val="left" w:pos="916"/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2748" w:hanging="22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5D42286">
        <w:start w:val="1"/>
        <w:numFmt w:val="lowerLetter"/>
        <w:lvlText w:val="%5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55EA51E">
        <w:start w:val="1"/>
        <w:numFmt w:val="lowerRoman"/>
        <w:lvlText w:val="%6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4320" w:hanging="31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BE075F8">
        <w:start w:val="1"/>
        <w:numFmt w:val="decimal"/>
        <w:lvlText w:val="%7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9165E06">
        <w:start w:val="1"/>
        <w:numFmt w:val="lowerLetter"/>
        <w:lvlText w:val="%8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5243F54">
        <w:start w:val="1"/>
        <w:numFmt w:val="lowerRoman"/>
        <w:lvlText w:val="%9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9160"/>
            <w:tab w:val="left" w:pos="9536"/>
            <w:tab w:val="left" w:pos="9536"/>
            <w:tab w:val="left" w:pos="9536"/>
            <w:tab w:val="left" w:pos="9536"/>
            <w:tab w:val="left" w:pos="9536"/>
            <w:tab w:val="left" w:pos="9536"/>
          </w:tabs>
          <w:ind w:left="6412" w:hanging="24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BEB"/>
    <w:rsid w:val="00322537"/>
    <w:rsid w:val="00397BEB"/>
    <w:rsid w:val="009B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7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7BEB"/>
    <w:rPr>
      <w:u w:val="single"/>
    </w:rPr>
  </w:style>
  <w:style w:type="paragraph" w:styleId="Header">
    <w:name w:val="header"/>
    <w:rsid w:val="00397BEB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customStyle="1" w:styleId="HeaderFooter">
    <w:name w:val="Header &amp; Footer"/>
    <w:rsid w:val="00397BE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397BE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it-IT"/>
    </w:rPr>
  </w:style>
  <w:style w:type="paragraph" w:styleId="NoSpacing">
    <w:name w:val="No Spacing"/>
    <w:rsid w:val="00397BEB"/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ListParagraph">
    <w:name w:val="List Paragraph"/>
    <w:rsid w:val="00397BE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397BEB"/>
    <w:pPr>
      <w:numPr>
        <w:numId w:val="1"/>
      </w:numPr>
    </w:pPr>
  </w:style>
  <w:style w:type="numbering" w:customStyle="1" w:styleId="ImportedStyle2">
    <w:name w:val="Imported Style 2"/>
    <w:rsid w:val="00397BEB"/>
    <w:pPr>
      <w:numPr>
        <w:numId w:val="3"/>
      </w:numPr>
    </w:pPr>
  </w:style>
  <w:style w:type="character" w:customStyle="1" w:styleId="None">
    <w:name w:val="None"/>
    <w:rsid w:val="00397BEB"/>
  </w:style>
  <w:style w:type="character" w:customStyle="1" w:styleId="Hyperlink0">
    <w:name w:val="Hyperlink.0"/>
    <w:basedOn w:val="None"/>
    <w:rsid w:val="00397B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oel%2520M%255BAuthor%255D&amp;cauthor=true&amp;cauthor_uid=25037076" TargetMode="External"/><Relationship Id="rId13" Type="http://schemas.openxmlformats.org/officeDocument/2006/relationships/hyperlink" Target="https://www.ncbi.nlm.nih.gov/pubmed/?term=Shrikhande%2520SV%255BAuthor%255D&amp;cauthor=true&amp;cauthor_uid=250370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jm.org/toc/nejm/359/4/" TargetMode="External"/><Relationship Id="rId12" Type="http://schemas.openxmlformats.org/officeDocument/2006/relationships/hyperlink" Target="https://www.ncbi.nlm.nih.gov/pubmed/?term=Shetty%2520N%255BAuthor%255D&amp;cauthor=true&amp;cauthor_uid=250370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Kulkarni%2520S%255BAuthor%255D&amp;cauthor=true&amp;cauthor_uid=2503707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cbi.nlm.nih.gov/pubmed/?term=Dharia%2520T%255BAuthor%255D&amp;cauthor=true&amp;cauthor_uid=25037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Gaikwad%2520V%255BAuthor%255D&amp;cauthor=true&amp;cauthor_uid=25037076" TargetMode="External"/><Relationship Id="rId14" Type="http://schemas.openxmlformats.org/officeDocument/2006/relationships/hyperlink" Target="https://www.ncbi.nlm.nih.gov/pubmed/?term=goel+M+and+HCC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5951</Characters>
  <Application>Microsoft Office Word</Application>
  <DocSecurity>0</DocSecurity>
  <Lines>49</Lines>
  <Paragraphs>13</Paragraphs>
  <ScaleCrop>false</ScaleCrop>
  <Company>HP Inc.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 ONCOLOGY MB ROOM NO  19 - 24</dc:creator>
  <cp:lastModifiedBy>admbopd</cp:lastModifiedBy>
  <cp:revision>2</cp:revision>
  <dcterms:created xsi:type="dcterms:W3CDTF">2022-10-14T06:49:00Z</dcterms:created>
  <dcterms:modified xsi:type="dcterms:W3CDTF">2022-10-14T06:49:00Z</dcterms:modified>
</cp:coreProperties>
</file>